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91F" w:rsidR="006E0940" w:rsidP="0016791F" w:rsidRDefault="006E0940" w14:paraId="5F9CC912" w14:textId="6B94CF33">
      <w:pPr>
        <w:shd w:val="clear" w:color="auto" w:fill="FFFFFF"/>
        <w:spacing w:after="0" w:line="240" w:lineRule="auto"/>
        <w:jc w:val="center"/>
        <w:rPr>
          <w:rFonts w:ascii="Poppins" w:hAnsi="Poppins" w:eastAsia="Times New Roman" w:cs="Poppins"/>
          <w:b/>
          <w:bCs/>
          <w:color w:val="4A4A52"/>
          <w:kern w:val="0"/>
          <w:lang w:eastAsia="fr-FR"/>
          <w14:ligatures w14:val="none"/>
        </w:rPr>
      </w:pPr>
      <w:r w:rsidRPr="00355059">
        <w:rPr>
          <w:rFonts w:ascii="Poppins" w:hAnsi="Poppins" w:eastAsia="Times New Roman" w:cs="Poppins"/>
          <w:b/>
          <w:bCs/>
          <w:color w:val="4A4A52"/>
          <w:kern w:val="0"/>
          <w:highlight w:val="yellow"/>
          <w:lang w:eastAsia="fr-FR"/>
          <w14:ligatures w14:val="none"/>
        </w:rPr>
        <w:t>Contenu Editor</w:t>
      </w:r>
      <w:r w:rsidRPr="00355059" w:rsidR="0016791F">
        <w:rPr>
          <w:rFonts w:ascii="Poppins" w:hAnsi="Poppins" w:eastAsia="Times New Roman" w:cs="Poppins"/>
          <w:b/>
          <w:bCs/>
          <w:color w:val="4A4A52"/>
          <w:kern w:val="0"/>
          <w:highlight w:val="yellow"/>
          <w:lang w:eastAsia="fr-FR"/>
          <w14:ligatures w14:val="none"/>
        </w:rPr>
        <w:t>ial prêt à l’emploi (pour une diffusion par mail, sur l’intranet …)</w:t>
      </w:r>
    </w:p>
    <w:p w:rsidR="0016791F" w:rsidP="005827CB" w:rsidRDefault="0016791F" w14:paraId="6E9A571A" w14:textId="77777777">
      <w:pPr>
        <w:shd w:val="clear" w:color="auto" w:fill="FFFFFF"/>
        <w:spacing w:after="0" w:line="240" w:lineRule="auto"/>
        <w:rPr>
          <w:rFonts w:ascii="Poppins" w:hAnsi="Poppins" w:eastAsia="Times New Roman" w:cs="Poppins"/>
          <w:b/>
          <w:bCs/>
          <w:color w:val="4A4A52"/>
          <w:kern w:val="0"/>
          <w:sz w:val="21"/>
          <w:szCs w:val="21"/>
          <w:lang w:eastAsia="fr-FR"/>
          <w14:ligatures w14:val="none"/>
        </w:rPr>
      </w:pPr>
    </w:p>
    <w:p w:rsidR="0016791F" w:rsidP="005827CB" w:rsidRDefault="0016791F" w14:paraId="210CDBF5" w14:textId="77777777">
      <w:pPr>
        <w:shd w:val="clear" w:color="auto" w:fill="FFFFFF"/>
        <w:spacing w:after="0" w:line="240" w:lineRule="auto"/>
        <w:rPr>
          <w:rFonts w:ascii="Poppins" w:hAnsi="Poppins" w:eastAsia="Times New Roman" w:cs="Poppins"/>
          <w:b/>
          <w:bCs/>
          <w:color w:val="4A4A52"/>
          <w:kern w:val="0"/>
          <w:sz w:val="21"/>
          <w:szCs w:val="21"/>
          <w:lang w:eastAsia="fr-FR"/>
          <w14:ligatures w14:val="none"/>
        </w:rPr>
      </w:pPr>
    </w:p>
    <w:p w:rsidRPr="00282552" w:rsidR="00282552" w:rsidP="005827CB" w:rsidRDefault="00282552" w14:paraId="05BEA1C0" w14:textId="0A89B2CB">
      <w:pPr>
        <w:shd w:val="clear" w:color="auto" w:fill="FFFFFF"/>
        <w:spacing w:after="0" w:line="240" w:lineRule="auto"/>
        <w:rPr>
          <w:rFonts w:ascii="Poppins" w:hAnsi="Poppins" w:eastAsia="Times New Roman" w:cs="Poppins"/>
          <w:b/>
          <w:bCs/>
          <w:color w:val="4A4A52"/>
          <w:kern w:val="0"/>
          <w:sz w:val="21"/>
          <w:szCs w:val="21"/>
          <w:lang w:eastAsia="fr-FR"/>
          <w14:ligatures w14:val="none"/>
        </w:rPr>
      </w:pPr>
      <w:r w:rsidRPr="00282552">
        <w:rPr>
          <w:rFonts w:ascii="Poppins" w:hAnsi="Poppins" w:eastAsia="Times New Roman" w:cs="Poppins"/>
          <w:b/>
          <w:bCs/>
          <w:color w:val="4A4A52"/>
          <w:kern w:val="0"/>
          <w:sz w:val="21"/>
          <w:szCs w:val="21"/>
          <w:lang w:eastAsia="fr-FR"/>
          <w14:ligatures w14:val="none"/>
        </w:rPr>
        <w:t>Objet : campagne de transfert de jours CET vers PER COL I</w:t>
      </w:r>
    </w:p>
    <w:p w:rsidR="00282552" w:rsidP="005827CB" w:rsidRDefault="00282552" w14:paraId="0049B960" w14:textId="77777777">
      <w:pPr>
        <w:shd w:val="clear" w:color="auto" w:fill="FFFFFF"/>
        <w:spacing w:after="0" w:line="240" w:lineRule="auto"/>
        <w:rPr>
          <w:rFonts w:ascii="Poppins" w:hAnsi="Poppins" w:eastAsia="Times New Roman" w:cs="Poppins"/>
          <w:color w:val="4A4A52"/>
          <w:kern w:val="0"/>
          <w:sz w:val="21"/>
          <w:szCs w:val="21"/>
          <w:lang w:eastAsia="fr-FR"/>
          <w14:ligatures w14:val="none"/>
        </w:rPr>
      </w:pPr>
    </w:p>
    <w:p w:rsidRPr="005827CB" w:rsidR="005827CB" w:rsidP="005827CB" w:rsidRDefault="005827CB" w14:paraId="712DA769" w14:textId="7D4FFA7E">
      <w:pPr>
        <w:shd w:val="clear" w:color="auto" w:fill="FFFFFF"/>
        <w:spacing w:after="0" w:line="240" w:lineRule="auto"/>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Bonjour, </w:t>
      </w:r>
    </w:p>
    <w:p w:rsidRPr="005827CB" w:rsidR="005827CB" w:rsidP="005827CB" w:rsidRDefault="005827CB" w14:paraId="7F7C5403" w14:textId="77777777">
      <w:pPr>
        <w:shd w:val="clear" w:color="auto" w:fill="FFFFFF"/>
        <w:spacing w:after="0" w:line="240" w:lineRule="auto"/>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 </w:t>
      </w:r>
    </w:p>
    <w:p w:rsidRPr="005827CB" w:rsidR="005827CB" w:rsidP="00282552" w:rsidRDefault="005827CB" w14:paraId="5FAFF471" w14:textId="3717699F">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Nous lançons la campagne annuelle de transfert de jours épargnés sur CET vers le PER COL-I.</w:t>
      </w:r>
    </w:p>
    <w:p w:rsidRPr="005827CB" w:rsidR="005827CB" w:rsidP="00282552" w:rsidRDefault="005827CB" w14:paraId="7C418EE7"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b/>
          <w:bCs/>
          <w:color w:val="4A4A52"/>
          <w:kern w:val="0"/>
          <w:sz w:val="21"/>
          <w:szCs w:val="21"/>
          <w:lang w:eastAsia="fr-FR"/>
          <w14:ligatures w14:val="none"/>
        </w:rPr>
        <w:t> </w:t>
      </w:r>
    </w:p>
    <w:p w:rsidRPr="005827CB" w:rsidR="005827CB" w:rsidP="00282552" w:rsidRDefault="005827CB" w14:paraId="7A143DC8"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b/>
          <w:bCs/>
          <w:color w:val="4A4A52"/>
          <w:kern w:val="0"/>
          <w:sz w:val="21"/>
          <w:szCs w:val="21"/>
          <w:lang w:eastAsia="fr-FR"/>
          <w14:ligatures w14:val="none"/>
        </w:rPr>
        <w:t>Modalités pratiques :</w:t>
      </w:r>
    </w:p>
    <w:p w:rsidRPr="00E93CE6" w:rsidR="005827CB" w:rsidP="7F00C136" w:rsidRDefault="005827CB" w14:paraId="75932A3F" w14:textId="717B7340">
      <w:pPr>
        <w:numPr>
          <w:ilvl w:val="0"/>
          <w:numId w:val="1"/>
        </w:numPr>
        <w:shd w:val="clear" w:color="auto" w:fill="FFFFFF" w:themeFill="background1"/>
        <w:spacing w:before="100" w:beforeAutospacing="on" w:after="100" w:afterAutospacing="on" w:line="240" w:lineRule="auto"/>
        <w:ind w:left="1095"/>
        <w:jc w:val="both"/>
        <w:rPr>
          <w:rFonts w:ascii="Poppins" w:hAnsi="Poppins" w:eastAsia="Times New Roman" w:cs="Poppins"/>
          <w:color w:val="4A4A52"/>
          <w:kern w:val="0"/>
          <w:sz w:val="21"/>
          <w:szCs w:val="21"/>
          <w:lang w:eastAsia="fr-FR"/>
          <w14:ligatures w14:val="none"/>
        </w:rPr>
      </w:pPr>
      <w:r w:rsidRPr="005827CB" w:rsidR="005827CB">
        <w:rPr>
          <w:rFonts w:ascii="Poppins" w:hAnsi="Poppins" w:eastAsia="Times New Roman" w:cs="Poppins"/>
          <w:color w:val="4A4A52"/>
          <w:kern w:val="0"/>
          <w:sz w:val="21"/>
          <w:szCs w:val="21"/>
          <w:lang w:eastAsia="fr-FR"/>
          <w14:ligatures w14:val="none"/>
        </w:rPr>
        <w:t xml:space="preserve">Les jours épargnés sur le CET, quelle que soit leur nature (à l’exception des jours d’abondement versés dans le cadre du </w:t>
      </w:r>
      <w:r w:rsidRPr="7F00C136" w:rsidR="0091CED0">
        <w:rPr>
          <w:rFonts w:ascii="Poppins" w:hAnsi="Poppins" w:eastAsia="Times New Roman" w:cs="Poppins"/>
          <w:color w:val="4A4A52"/>
          <w:sz w:val="21"/>
          <w:szCs w:val="21"/>
          <w:lang w:eastAsia="fr-FR"/>
        </w:rPr>
        <w:t>Protocole d'accord du 22 février 2022 relatif à l'aménagement des fins de carrière</w:t>
      </w:r>
      <w:r w:rsidRPr="005827CB" w:rsidR="005827CB">
        <w:rPr>
          <w:rFonts w:ascii="Poppins" w:hAnsi="Poppins" w:eastAsia="Times New Roman" w:cs="Poppins"/>
          <w:color w:val="4A4A52"/>
          <w:kern w:val="0"/>
          <w:sz w:val="21"/>
          <w:szCs w:val="21"/>
          <w:lang w:eastAsia="fr-FR"/>
          <w14:ligatures w14:val="none"/>
        </w:rPr>
        <w:t>) peuvent être transférés sur le PERCOL-I, dans la limite de </w:t>
      </w:r>
      <w:r w:rsidRPr="005827CB" w:rsidR="005827CB">
        <w:rPr>
          <w:rFonts w:ascii="Poppins" w:hAnsi="Poppins" w:eastAsia="Times New Roman" w:cs="Poppins"/>
          <w:b w:val="1"/>
          <w:bCs w:val="1"/>
          <w:color w:val="4A4A52"/>
          <w:kern w:val="0"/>
          <w:sz w:val="21"/>
          <w:szCs w:val="21"/>
          <w:lang w:eastAsia="fr-FR"/>
          <w14:ligatures w14:val="none"/>
        </w:rPr>
        <w:t>10 jours par année civile</w:t>
      </w:r>
      <w:r w:rsidRPr="005827CB" w:rsidR="005827CB">
        <w:rPr>
          <w:rFonts w:ascii="Poppins" w:hAnsi="Poppins" w:eastAsia="Times New Roman" w:cs="Poppins"/>
          <w:color w:val="4A4A52"/>
          <w:kern w:val="0"/>
          <w:sz w:val="21"/>
          <w:szCs w:val="21"/>
          <w:lang w:eastAsia="fr-FR"/>
          <w14:ligatures w14:val="none"/>
        </w:rPr>
        <w:t> ; </w:t>
      </w:r>
    </w:p>
    <w:p w:rsidRPr="009D14DE" w:rsidR="005827CB" w:rsidP="0B3979DF" w:rsidRDefault="005827CB" w14:paraId="29C8B830" w14:textId="00F6F427">
      <w:pPr>
        <w:numPr>
          <w:ilvl w:val="0"/>
          <w:numId w:val="1"/>
        </w:numPr>
        <w:shd w:val="clear" w:color="auto" w:fill="FFFFFF" w:themeFill="background1"/>
        <w:spacing w:before="100" w:beforeAutospacing="1" w:after="100" w:afterAutospacing="1" w:line="240" w:lineRule="auto"/>
        <w:ind w:left="1095"/>
        <w:jc w:val="both"/>
        <w:rPr>
          <w:rFonts w:ascii="Poppins" w:hAnsi="Poppins" w:eastAsia="Times New Roman" w:cs="Poppins"/>
          <w:color w:val="4A4A52"/>
          <w:kern w:val="0"/>
          <w:sz w:val="21"/>
          <w:szCs w:val="21"/>
          <w:lang w:eastAsia="fr-FR"/>
          <w14:ligatures w14:val="none"/>
        </w:rPr>
      </w:pPr>
      <w:r w:rsidRPr="009D14DE">
        <w:rPr>
          <w:rFonts w:ascii="Poppins" w:hAnsi="Poppins" w:eastAsia="Times New Roman" w:cs="Poppins"/>
          <w:color w:val="4A4A52"/>
          <w:kern w:val="0"/>
          <w:sz w:val="21"/>
          <w:szCs w:val="21"/>
          <w:lang w:eastAsia="fr-FR"/>
          <w14:ligatures w14:val="none"/>
        </w:rPr>
        <w:t>Chaque jour transféré bénéficie d’un abondement de l’employeur de </w:t>
      </w:r>
      <w:r w:rsidRPr="009D14DE" w:rsidR="00502FBE">
        <w:rPr>
          <w:rFonts w:ascii="Poppins" w:hAnsi="Poppins" w:eastAsia="Times New Roman" w:cs="Poppins"/>
          <w:color w:val="4A4A52"/>
          <w:kern w:val="0"/>
          <w:sz w:val="21"/>
          <w:szCs w:val="21"/>
          <w:lang w:eastAsia="fr-FR"/>
          <w14:ligatures w14:val="none"/>
        </w:rPr>
        <w:t xml:space="preserve">37,47 </w:t>
      </w:r>
      <w:r w:rsidRPr="009D14DE">
        <w:rPr>
          <w:rFonts w:ascii="Poppins" w:hAnsi="Poppins" w:eastAsia="Times New Roman" w:cs="Poppins"/>
          <w:color w:val="4A4A52"/>
          <w:kern w:val="0"/>
          <w:sz w:val="21"/>
          <w:szCs w:val="21"/>
          <w:lang w:eastAsia="fr-FR"/>
          <w14:ligatures w14:val="none"/>
        </w:rPr>
        <w:t xml:space="preserve">euros bruts par jour dans une limite maximale de </w:t>
      </w:r>
      <w:r w:rsidRPr="009D14DE" w:rsidR="009151F6">
        <w:rPr>
          <w:rFonts w:ascii="Poppins" w:hAnsi="Poppins" w:eastAsia="Times New Roman" w:cs="Poppins"/>
          <w:color w:val="4A4A52"/>
          <w:kern w:val="0"/>
          <w:sz w:val="21"/>
          <w:szCs w:val="21"/>
          <w:lang w:eastAsia="fr-FR"/>
          <w14:ligatures w14:val="none"/>
        </w:rPr>
        <w:t xml:space="preserve">à </w:t>
      </w:r>
      <w:r w:rsidRPr="009D14DE" w:rsidR="00420F94">
        <w:rPr>
          <w:rFonts w:ascii="Poppins" w:hAnsi="Poppins" w:eastAsia="Times New Roman" w:cs="Poppins"/>
          <w:color w:val="4A4A52"/>
          <w:kern w:val="0"/>
          <w:sz w:val="21"/>
          <w:szCs w:val="21"/>
          <w:lang w:eastAsia="fr-FR"/>
          <w14:ligatures w14:val="none"/>
        </w:rPr>
        <w:t xml:space="preserve">374,70 </w:t>
      </w:r>
      <w:r w:rsidRPr="009D14DE">
        <w:rPr>
          <w:rFonts w:ascii="Poppins" w:hAnsi="Poppins" w:eastAsia="Times New Roman" w:cs="Poppins"/>
          <w:color w:val="4A4A52"/>
          <w:kern w:val="0"/>
          <w:sz w:val="21"/>
          <w:szCs w:val="21"/>
          <w:lang w:eastAsia="fr-FR"/>
          <w14:ligatures w14:val="none"/>
        </w:rPr>
        <w:t>euros ;</w:t>
      </w:r>
    </w:p>
    <w:p w:rsidRPr="005827CB" w:rsidR="005827CB" w:rsidP="00282552" w:rsidRDefault="005827CB" w14:paraId="144EC250" w14:textId="3B5CFF42">
      <w:pPr>
        <w:numPr>
          <w:ilvl w:val="0"/>
          <w:numId w:val="1"/>
        </w:numPr>
        <w:shd w:val="clear" w:color="auto" w:fill="FFFFFF"/>
        <w:spacing w:before="100" w:beforeAutospacing="1" w:after="100" w:afterAutospacing="1" w:line="240" w:lineRule="auto"/>
        <w:ind w:left="1095"/>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 xml:space="preserve">La demande de transferts de jours du CET vers le PERCOL-I doit s’effectuer via </w:t>
      </w:r>
      <w:r w:rsidR="009151F6">
        <w:rPr>
          <w:rFonts w:ascii="Poppins" w:hAnsi="Poppins" w:eastAsia="Times New Roman" w:cs="Poppins"/>
          <w:color w:val="4A4A52"/>
          <w:kern w:val="0"/>
          <w:sz w:val="21"/>
          <w:szCs w:val="21"/>
          <w:lang w:eastAsia="fr-FR"/>
          <w14:ligatures w14:val="none"/>
        </w:rPr>
        <w:t>(</w:t>
      </w:r>
      <w:r w:rsidRPr="003C4EFE" w:rsidR="009151F6">
        <w:rPr>
          <w:rFonts w:ascii="Poppins" w:hAnsi="Poppins" w:eastAsia="Times New Roman" w:cs="Poppins"/>
          <w:i/>
          <w:iCs/>
          <w:color w:val="4A4A52"/>
          <w:kern w:val="0"/>
          <w:sz w:val="21"/>
          <w:szCs w:val="21"/>
          <w:highlight w:val="yellow"/>
          <w:lang w:eastAsia="fr-FR"/>
          <w14:ligatures w14:val="none"/>
        </w:rPr>
        <w:t xml:space="preserve">modalité à définir par l’organisme : formulaire à remplir, </w:t>
      </w:r>
      <w:r w:rsidRPr="003C4EFE" w:rsidR="00766464">
        <w:rPr>
          <w:rFonts w:ascii="Poppins" w:hAnsi="Poppins" w:eastAsia="Times New Roman" w:cs="Poppins"/>
          <w:i/>
          <w:iCs/>
          <w:color w:val="4A4A52"/>
          <w:kern w:val="0"/>
          <w:sz w:val="21"/>
          <w:szCs w:val="21"/>
          <w:highlight w:val="yellow"/>
          <w:lang w:eastAsia="fr-FR"/>
          <w14:ligatures w14:val="none"/>
        </w:rPr>
        <w:t xml:space="preserve">saisie dans un outil, </w:t>
      </w:r>
      <w:r w:rsidR="00883C44">
        <w:rPr>
          <w:rFonts w:ascii="Poppins" w:hAnsi="Poppins" w:eastAsia="Times New Roman" w:cs="Poppins"/>
          <w:i/>
          <w:iCs/>
          <w:color w:val="4A4A52"/>
          <w:kern w:val="0"/>
          <w:sz w:val="21"/>
          <w:szCs w:val="21"/>
          <w:highlight w:val="yellow"/>
          <w:lang w:eastAsia="fr-FR"/>
          <w14:ligatures w14:val="none"/>
        </w:rPr>
        <w:t xml:space="preserve">définir une </w:t>
      </w:r>
      <w:r w:rsidRPr="003C4EFE" w:rsidR="00766464">
        <w:rPr>
          <w:rFonts w:ascii="Poppins" w:hAnsi="Poppins" w:eastAsia="Times New Roman" w:cs="Poppins"/>
          <w:i/>
          <w:iCs/>
          <w:color w:val="4A4A52"/>
          <w:kern w:val="0"/>
          <w:sz w:val="21"/>
          <w:szCs w:val="21"/>
          <w:highlight w:val="yellow"/>
          <w:lang w:eastAsia="fr-FR"/>
          <w14:ligatures w14:val="none"/>
        </w:rPr>
        <w:t>date limite pour la transmission</w:t>
      </w:r>
      <w:r w:rsidRPr="003C4EFE" w:rsidR="00DD0A79">
        <w:rPr>
          <w:rFonts w:ascii="Poppins" w:hAnsi="Poppins" w:eastAsia="Times New Roman" w:cs="Poppins"/>
          <w:i/>
          <w:iCs/>
          <w:color w:val="4A4A52"/>
          <w:kern w:val="0"/>
          <w:sz w:val="21"/>
          <w:szCs w:val="21"/>
          <w:highlight w:val="yellow"/>
          <w:lang w:eastAsia="fr-FR"/>
          <w14:ligatures w14:val="none"/>
        </w:rPr>
        <w:t xml:space="preserve"> au service RH</w:t>
      </w:r>
      <w:r w:rsidRPr="003C4EFE" w:rsidR="00DD0A79">
        <w:rPr>
          <w:rFonts w:ascii="Poppins" w:hAnsi="Poppins" w:eastAsia="Times New Roman" w:cs="Poppins"/>
          <w:color w:val="4A4A52"/>
          <w:kern w:val="0"/>
          <w:sz w:val="21"/>
          <w:szCs w:val="21"/>
          <w:highlight w:val="yellow"/>
          <w:lang w:eastAsia="fr-FR"/>
          <w14:ligatures w14:val="none"/>
        </w:rPr>
        <w:t>).</w:t>
      </w:r>
    </w:p>
    <w:p w:rsidRPr="00A01342" w:rsidR="00A01342" w:rsidP="7F00C136" w:rsidRDefault="005827CB" w14:paraId="158FF52D" w14:textId="542A7396">
      <w:pPr>
        <w:numPr>
          <w:ilvl w:val="0"/>
          <w:numId w:val="1"/>
        </w:numPr>
        <w:shd w:val="clear" w:color="auto" w:fill="FFFFFF" w:themeFill="background1"/>
        <w:spacing w:before="100" w:beforeAutospacing="on" w:after="100" w:afterAutospacing="on" w:line="240" w:lineRule="auto"/>
        <w:ind w:left="1095"/>
        <w:jc w:val="both"/>
        <w:rPr>
          <w:rFonts w:ascii="Poppins" w:hAnsi="Poppins" w:eastAsia="Times New Roman" w:cs="Poppins"/>
          <w:color w:val="4A4A52"/>
          <w:kern w:val="0"/>
          <w:sz w:val="21"/>
          <w:szCs w:val="21"/>
          <w:lang w:eastAsia="fr-FR"/>
          <w14:ligatures w14:val="none"/>
        </w:rPr>
      </w:pPr>
      <w:r w:rsidRPr="005827CB" w:rsidR="005827CB">
        <w:rPr>
          <w:rFonts w:ascii="Poppins" w:hAnsi="Poppins" w:eastAsia="Times New Roman" w:cs="Poppins"/>
          <w:color w:val="4A4A52"/>
          <w:kern w:val="0"/>
          <w:sz w:val="21"/>
          <w:szCs w:val="21"/>
          <w:lang w:eastAsia="fr-FR"/>
          <w14:ligatures w14:val="none"/>
        </w:rPr>
        <w:t xml:space="preserve">L’épargne de jours sur </w:t>
      </w:r>
      <w:r w:rsidR="00EE1A54">
        <w:rPr>
          <w:rFonts w:ascii="Poppins" w:hAnsi="Poppins" w:eastAsia="Times New Roman" w:cs="Poppins"/>
          <w:color w:val="4A4A52"/>
          <w:kern w:val="0"/>
          <w:sz w:val="21"/>
          <w:szCs w:val="21"/>
          <w:lang w:eastAsia="fr-FR"/>
          <w14:ligatures w14:val="none"/>
        </w:rPr>
        <w:t xml:space="preserve">le </w:t>
      </w:r>
      <w:r w:rsidRPr="005827CB" w:rsidR="005827CB">
        <w:rPr>
          <w:rFonts w:ascii="Poppins" w:hAnsi="Poppins" w:eastAsia="Times New Roman" w:cs="Poppins"/>
          <w:color w:val="4A4A52"/>
          <w:kern w:val="0"/>
          <w:sz w:val="21"/>
          <w:szCs w:val="21"/>
          <w:lang w:eastAsia="fr-FR"/>
          <w14:ligatures w14:val="none"/>
        </w:rPr>
        <w:t>PER</w:t>
      </w:r>
      <w:r w:rsidRPr="005827CB" w:rsidR="005827CB">
        <w:rPr>
          <w:rFonts w:ascii="Poppins" w:hAnsi="Poppins" w:eastAsia="Times New Roman" w:cs="Poppins"/>
          <w:color w:val="4A4A52"/>
          <w:kern w:val="0"/>
          <w:sz w:val="21"/>
          <w:szCs w:val="21"/>
          <w:lang w:eastAsia="fr-FR"/>
          <w14:ligatures w14:val="none"/>
        </w:rPr>
        <w:t>COL-I offre différentes possibilités de placement dont le détail vous est présenté sur votre </w:t>
      </w:r>
      <w:hyperlink w:history="1" r:id="R074e73f31f14450a">
        <w:r w:rsidRPr="005827CB" w:rsidR="005827CB">
          <w:rPr>
            <w:rFonts w:ascii="Poppins" w:hAnsi="Poppins" w:eastAsia="Times New Roman" w:cs="Poppins"/>
            <w:color w:val="0092FF"/>
            <w:kern w:val="0"/>
            <w:sz w:val="21"/>
            <w:szCs w:val="21"/>
            <w:u w:val="single"/>
            <w:lang w:eastAsia="fr-FR"/>
            <w14:ligatures w14:val="none"/>
          </w:rPr>
          <w:t>espace salarié</w:t>
        </w:r>
      </w:hyperlink>
      <w:r w:rsidRPr="005827CB" w:rsidR="005827CB">
        <w:rPr>
          <w:rFonts w:ascii="Poppins" w:hAnsi="Poppins" w:eastAsia="Times New Roman" w:cs="Poppins"/>
          <w:color w:val="4A4A52"/>
          <w:kern w:val="0"/>
          <w:sz w:val="21"/>
          <w:szCs w:val="21"/>
          <w:lang w:eastAsia="fr-FR"/>
          <w14:ligatures w14:val="none"/>
        </w:rPr>
        <w:t> du site de l’Ucanss</w:t>
      </w:r>
      <w:r w:rsidR="00EE1A54">
        <w:rPr>
          <w:rFonts w:ascii="Poppins" w:hAnsi="Poppins" w:eastAsia="Times New Roman" w:cs="Poppins"/>
          <w:color w:val="4A4A52"/>
          <w:kern w:val="0"/>
          <w:sz w:val="21"/>
          <w:szCs w:val="21"/>
          <w:lang w:eastAsia="fr-FR"/>
          <w14:ligatures w14:val="none"/>
        </w:rPr>
        <w:t>.</w:t>
      </w:r>
      <w:r w:rsidRPr="0013113A" w:rsidR="0013113A">
        <w:rPr/>
        <w:t xml:space="preserve"> </w:t>
      </w:r>
    </w:p>
    <w:p w:rsidR="00C77DDB" w:rsidP="00C77DDB" w:rsidRDefault="00A01342" w14:paraId="5CCAC898"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Pr>
          <w:rFonts w:ascii="Poppins" w:hAnsi="Poppins" w:eastAsia="Times New Roman" w:cs="Poppins"/>
          <w:color w:val="4A4A52"/>
          <w:kern w:val="0"/>
          <w:sz w:val="21"/>
          <w:szCs w:val="21"/>
          <w:lang w:eastAsia="fr-FR"/>
          <w14:ligatures w14:val="none"/>
        </w:rPr>
        <w:t>Les salariés ont le choix entre deux modes de gestion :</w:t>
      </w:r>
    </w:p>
    <w:p w:rsidRPr="00C77DDB" w:rsidR="00C77DDB" w:rsidP="00C77DDB" w:rsidRDefault="00A01342" w14:paraId="0C54DE51" w14:textId="77777777">
      <w:pPr>
        <w:pStyle w:val="Paragraphedeliste"/>
        <w:numPr>
          <w:ilvl w:val="0"/>
          <w:numId w:val="3"/>
        </w:num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C77DDB">
        <w:rPr>
          <w:rFonts w:ascii="Poppins" w:hAnsi="Poppins" w:eastAsia="Times New Roman" w:cs="Poppins"/>
          <w:color w:val="4A4A52"/>
          <w:kern w:val="0"/>
          <w:sz w:val="21"/>
          <w:szCs w:val="21"/>
          <w:lang w:eastAsia="fr-FR"/>
          <w14:ligatures w14:val="none"/>
        </w:rPr>
        <w:t xml:space="preserve">La gestion </w:t>
      </w:r>
      <w:r w:rsidRPr="00C77DDB" w:rsidR="00833955">
        <w:rPr>
          <w:rFonts w:ascii="Poppins" w:hAnsi="Poppins" w:eastAsia="Times New Roman" w:cs="Poppins"/>
          <w:color w:val="4A4A52"/>
          <w:kern w:val="0"/>
          <w:sz w:val="21"/>
          <w:szCs w:val="21"/>
          <w:lang w:eastAsia="fr-FR"/>
          <w14:ligatures w14:val="none"/>
        </w:rPr>
        <w:t>libre</w:t>
      </w:r>
      <w:r w:rsidRPr="00C77DDB">
        <w:rPr>
          <w:rFonts w:ascii="Poppins" w:hAnsi="Poppins" w:eastAsia="Times New Roman" w:cs="Poppins"/>
          <w:color w:val="4A4A52"/>
          <w:kern w:val="0"/>
          <w:sz w:val="21"/>
          <w:szCs w:val="21"/>
          <w:lang w:eastAsia="fr-FR"/>
          <w14:ligatures w14:val="none"/>
        </w:rPr>
        <w:t> : l</w:t>
      </w:r>
      <w:r w:rsidRPr="00C77DDB" w:rsidR="00833955">
        <w:rPr>
          <w:rFonts w:ascii="Poppins" w:hAnsi="Poppins" w:eastAsia="Times New Roman" w:cs="Poppins"/>
          <w:color w:val="4A4A52"/>
          <w:kern w:val="0"/>
          <w:sz w:val="21"/>
          <w:szCs w:val="21"/>
          <w:lang w:eastAsia="fr-FR"/>
          <w14:ligatures w14:val="none"/>
        </w:rPr>
        <w:t>’épargnant détermine lui-même</w:t>
      </w:r>
      <w:r w:rsidRPr="00C77DDB">
        <w:rPr>
          <w:rFonts w:ascii="Poppins" w:hAnsi="Poppins" w:eastAsia="Times New Roman" w:cs="Poppins"/>
          <w:color w:val="4A4A52"/>
          <w:kern w:val="0"/>
          <w:sz w:val="21"/>
          <w:szCs w:val="21"/>
          <w:lang w:eastAsia="fr-FR"/>
          <w14:ligatures w14:val="none"/>
        </w:rPr>
        <w:t xml:space="preserve"> </w:t>
      </w:r>
      <w:r w:rsidRPr="00C77DDB" w:rsidR="00833955">
        <w:rPr>
          <w:rFonts w:ascii="Poppins" w:hAnsi="Poppins" w:eastAsia="Times New Roman" w:cs="Poppins"/>
          <w:color w:val="4A4A52"/>
          <w:kern w:val="0"/>
          <w:sz w:val="21"/>
          <w:szCs w:val="21"/>
          <w:lang w:eastAsia="fr-FR"/>
          <w14:ligatures w14:val="none"/>
        </w:rPr>
        <w:t>ses choix de placement parmi les supports</w:t>
      </w:r>
      <w:r w:rsidRPr="00C77DDB">
        <w:rPr>
          <w:rFonts w:ascii="Poppins" w:hAnsi="Poppins" w:eastAsia="Times New Roman" w:cs="Poppins"/>
          <w:color w:val="4A4A52"/>
          <w:kern w:val="0"/>
          <w:sz w:val="21"/>
          <w:szCs w:val="21"/>
          <w:lang w:eastAsia="fr-FR"/>
          <w14:ligatures w14:val="none"/>
        </w:rPr>
        <w:t xml:space="preserve"> </w:t>
      </w:r>
      <w:r w:rsidRPr="00C77DDB" w:rsidR="00833955">
        <w:rPr>
          <w:rFonts w:ascii="Poppins" w:hAnsi="Poppins" w:eastAsia="Times New Roman" w:cs="Poppins"/>
          <w:color w:val="4A4A52"/>
          <w:kern w:val="0"/>
          <w:sz w:val="21"/>
          <w:szCs w:val="21"/>
          <w:lang w:eastAsia="fr-FR"/>
          <w14:ligatures w14:val="none"/>
        </w:rPr>
        <w:t>de placement proposés et peut</w:t>
      </w:r>
      <w:r w:rsidRPr="00C77DDB">
        <w:rPr>
          <w:rFonts w:ascii="Poppins" w:hAnsi="Poppins" w:eastAsia="Times New Roman" w:cs="Poppins"/>
          <w:color w:val="4A4A52"/>
          <w:kern w:val="0"/>
          <w:sz w:val="21"/>
          <w:szCs w:val="21"/>
          <w:lang w:eastAsia="fr-FR"/>
          <w14:ligatures w14:val="none"/>
        </w:rPr>
        <w:t xml:space="preserve"> </w:t>
      </w:r>
      <w:r w:rsidRPr="00C77DDB" w:rsidR="00833955">
        <w:rPr>
          <w:rFonts w:ascii="Poppins" w:hAnsi="Poppins" w:eastAsia="Times New Roman" w:cs="Poppins"/>
          <w:color w:val="4A4A52"/>
          <w:kern w:val="0"/>
          <w:sz w:val="21"/>
          <w:szCs w:val="21"/>
          <w:lang w:eastAsia="fr-FR"/>
          <w14:ligatures w14:val="none"/>
        </w:rPr>
        <w:t>les modifier quand il le souhaite</w:t>
      </w:r>
      <w:r w:rsidRPr="00C77DDB" w:rsidR="00707448">
        <w:rPr>
          <w:rFonts w:ascii="Poppins" w:hAnsi="Poppins" w:eastAsia="Times New Roman" w:cs="Poppins"/>
          <w:color w:val="4A4A52"/>
          <w:kern w:val="0"/>
          <w:sz w:val="21"/>
          <w:szCs w:val="21"/>
          <w:lang w:eastAsia="fr-FR"/>
          <w14:ligatures w14:val="none"/>
        </w:rPr>
        <w:t> ;</w:t>
      </w:r>
    </w:p>
    <w:p w:rsidR="00707448" w:rsidP="00C77DDB" w:rsidRDefault="00707448" w14:paraId="6E43DE90" w14:textId="6377F73E">
      <w:pPr>
        <w:pStyle w:val="Paragraphedeliste"/>
        <w:numPr>
          <w:ilvl w:val="0"/>
          <w:numId w:val="3"/>
        </w:num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C77DDB">
        <w:rPr>
          <w:rFonts w:ascii="Poppins" w:hAnsi="Poppins" w:eastAsia="Times New Roman" w:cs="Poppins"/>
          <w:color w:val="4A4A52"/>
          <w:kern w:val="0"/>
          <w:sz w:val="21"/>
          <w:szCs w:val="21"/>
          <w:lang w:eastAsia="fr-FR"/>
          <w14:ligatures w14:val="none"/>
        </w:rPr>
        <w:t>La gestion pilotée :  elle permet de déléguer à des experts la gestion financière de son compte retraite afin d’en optimiser le rendement et de consolider progressivement l’épargne en fonction de son horizon de placement.</w:t>
      </w:r>
    </w:p>
    <w:p w:rsidRPr="00C77DDB" w:rsidR="00C77DDB" w:rsidP="00C77DDB" w:rsidRDefault="00C77DDB" w14:paraId="2238B3DC" w14:textId="77777777">
      <w:pPr>
        <w:pStyle w:val="Paragraphedeliste"/>
        <w:shd w:val="clear" w:color="auto" w:fill="FFFFFF"/>
        <w:spacing w:after="0" w:line="240" w:lineRule="auto"/>
        <w:jc w:val="both"/>
        <w:rPr>
          <w:rFonts w:ascii="Poppins" w:hAnsi="Poppins" w:eastAsia="Times New Roman" w:cs="Poppins"/>
          <w:color w:val="4A4A52"/>
          <w:kern w:val="0"/>
          <w:sz w:val="21"/>
          <w:szCs w:val="21"/>
          <w:lang w:eastAsia="fr-FR"/>
          <w14:ligatures w14:val="non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4531"/>
        <w:gridCol w:w="2127"/>
        <w:gridCol w:w="2213"/>
      </w:tblGrid>
      <w:tr w:rsidRPr="003D1EA4" w:rsidR="00C77DDB" w:rsidTr="00C77DDB" w14:paraId="26526D77" w14:textId="77777777">
        <w:tc>
          <w:tcPr>
            <w:tcW w:w="4531" w:type="dxa"/>
            <w:shd w:val="clear" w:color="auto" w:fill="FFFFFF"/>
            <w:vAlign w:val="center"/>
            <w:hideMark/>
          </w:tcPr>
          <w:p w:rsidRPr="003D1EA4" w:rsidR="00DD279A" w:rsidP="003D1EA4" w:rsidRDefault="00DD279A" w14:paraId="76B3800A" w14:textId="5EAEF830">
            <w:pPr>
              <w:spacing w:before="15" w:after="15" w:line="240" w:lineRule="auto"/>
              <w:jc w:val="center"/>
              <w:rPr>
                <w:rFonts w:ascii="Hero New" w:hAnsi="Hero New" w:eastAsia="Times New Roman" w:cs="Times New Roman"/>
                <w:color w:val="191D3A"/>
                <w:kern w:val="0"/>
                <w:sz w:val="20"/>
                <w:szCs w:val="20"/>
                <w:lang w:eastAsia="fr-FR"/>
                <w14:ligatures w14:val="none"/>
              </w:rPr>
            </w:pPr>
            <w:r w:rsidRPr="003D1EA4">
              <w:rPr>
                <w:rFonts w:ascii="Hero New" w:hAnsi="Hero New" w:eastAsia="Times New Roman" w:cs="Times New Roman"/>
                <w:b/>
                <w:bCs/>
                <w:color w:val="000000"/>
                <w:kern w:val="0"/>
                <w:sz w:val="20"/>
                <w:szCs w:val="20"/>
                <w:lang w:eastAsia="fr-FR"/>
                <w14:ligatures w14:val="none"/>
              </w:rPr>
              <w:br/>
            </w:r>
          </w:p>
        </w:tc>
        <w:tc>
          <w:tcPr>
            <w:tcW w:w="2127" w:type="dxa"/>
            <w:shd w:val="clear" w:color="auto" w:fill="FFFFFF"/>
            <w:vAlign w:val="center"/>
            <w:hideMark/>
          </w:tcPr>
          <w:p w:rsidRPr="003D1EA4" w:rsidR="00DD279A" w:rsidP="003D1EA4" w:rsidRDefault="00DD279A" w14:paraId="5F43E8D5" w14:textId="77777777">
            <w:pPr>
              <w:spacing w:before="15" w:after="15" w:line="240" w:lineRule="auto"/>
              <w:jc w:val="center"/>
              <w:rPr>
                <w:rFonts w:ascii="Hero New" w:hAnsi="Hero New" w:eastAsia="Times New Roman" w:cs="Times New Roman"/>
                <w:color w:val="191D3A"/>
                <w:kern w:val="0"/>
                <w:sz w:val="20"/>
                <w:szCs w:val="20"/>
                <w:lang w:eastAsia="fr-FR"/>
                <w14:ligatures w14:val="none"/>
              </w:rPr>
            </w:pPr>
            <w:r w:rsidRPr="003D1EA4">
              <w:rPr>
                <w:rFonts w:ascii="Hero New" w:hAnsi="Hero New" w:eastAsia="Times New Roman" w:cs="Times New Roman"/>
                <w:b/>
                <w:bCs/>
                <w:color w:val="000000"/>
                <w:kern w:val="0"/>
                <w:sz w:val="20"/>
                <w:szCs w:val="20"/>
                <w:lang w:eastAsia="fr-FR"/>
                <w14:ligatures w14:val="none"/>
              </w:rPr>
              <w:t>PER COL-I en gestion libre</w:t>
            </w:r>
          </w:p>
        </w:tc>
        <w:tc>
          <w:tcPr>
            <w:tcW w:w="2213" w:type="dxa"/>
            <w:shd w:val="clear" w:color="auto" w:fill="FFFFFF"/>
            <w:vAlign w:val="center"/>
            <w:hideMark/>
          </w:tcPr>
          <w:p w:rsidRPr="003D1EA4" w:rsidR="00DD279A" w:rsidP="003D1EA4" w:rsidRDefault="00DD279A" w14:paraId="4B480E1E" w14:textId="77777777">
            <w:pPr>
              <w:spacing w:before="15" w:after="15" w:line="240" w:lineRule="auto"/>
              <w:jc w:val="center"/>
              <w:rPr>
                <w:rFonts w:ascii="Hero New" w:hAnsi="Hero New" w:eastAsia="Times New Roman" w:cs="Times New Roman"/>
                <w:color w:val="191D3A"/>
                <w:kern w:val="0"/>
                <w:sz w:val="20"/>
                <w:szCs w:val="20"/>
                <w:lang w:eastAsia="fr-FR"/>
                <w14:ligatures w14:val="none"/>
              </w:rPr>
            </w:pPr>
            <w:r w:rsidRPr="003D1EA4">
              <w:rPr>
                <w:rFonts w:ascii="Hero New" w:hAnsi="Hero New" w:eastAsia="Times New Roman" w:cs="Times New Roman"/>
                <w:b/>
                <w:bCs/>
                <w:color w:val="000000"/>
                <w:kern w:val="0"/>
                <w:sz w:val="20"/>
                <w:szCs w:val="20"/>
                <w:lang w:eastAsia="fr-FR"/>
                <w14:ligatures w14:val="none"/>
              </w:rPr>
              <w:t>PER COL-I en gestion pilotée</w:t>
            </w:r>
          </w:p>
        </w:tc>
      </w:tr>
      <w:tr w:rsidRPr="003D1EA4" w:rsidR="00DD279A" w:rsidTr="00C77DDB" w14:paraId="53AAD491" w14:textId="77777777">
        <w:tc>
          <w:tcPr>
            <w:tcW w:w="4531" w:type="dxa"/>
            <w:shd w:val="clear" w:color="auto" w:fill="FFFFFF"/>
            <w:vAlign w:val="center"/>
            <w:hideMark/>
          </w:tcPr>
          <w:p w:rsidRPr="003D1EA4" w:rsidR="00DD279A" w:rsidP="003D1EA4" w:rsidRDefault="00DD279A" w14:paraId="433E3C88"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NATIXIS ES MONETAIRE</w:t>
            </w:r>
          </w:p>
        </w:tc>
        <w:tc>
          <w:tcPr>
            <w:tcW w:w="2127" w:type="dxa"/>
            <w:shd w:val="clear" w:color="auto" w:fill="FFFFFF"/>
            <w:vAlign w:val="center"/>
          </w:tcPr>
          <w:p w:rsidRPr="003D1EA4" w:rsidR="00DD279A" w:rsidP="003D1EA4" w:rsidRDefault="00261002" w14:paraId="45A50021" w14:textId="56DF5F9A">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261002" w14:paraId="6602B9D8" w14:textId="2461F44A">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r>
      <w:tr w:rsidRPr="003D1EA4" w:rsidR="00DD279A" w:rsidTr="00C77DDB" w14:paraId="145F3441" w14:textId="77777777">
        <w:tc>
          <w:tcPr>
            <w:tcW w:w="4531" w:type="dxa"/>
            <w:shd w:val="clear" w:color="auto" w:fill="FFFFFF"/>
            <w:vAlign w:val="center"/>
            <w:hideMark/>
          </w:tcPr>
          <w:p w:rsidRPr="003D1EA4" w:rsidR="00DD279A" w:rsidP="003D1EA4" w:rsidRDefault="00DD279A" w14:paraId="5BA9A613"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SELECTION DNCA SERENITE PLUS</w:t>
            </w:r>
          </w:p>
        </w:tc>
        <w:tc>
          <w:tcPr>
            <w:tcW w:w="2127" w:type="dxa"/>
            <w:shd w:val="clear" w:color="auto" w:fill="FFFFFF"/>
            <w:vAlign w:val="center"/>
          </w:tcPr>
          <w:p w:rsidRPr="003D1EA4" w:rsidR="00DD279A" w:rsidP="003D1EA4" w:rsidRDefault="00261002" w14:paraId="16551A38" w14:textId="52638BAF">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261002" w14:paraId="59DB9EB9" w14:textId="5CE58C41">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r>
      <w:tr w:rsidRPr="003D1EA4" w:rsidR="00DD279A" w:rsidTr="00C77DDB" w14:paraId="518FBF2D" w14:textId="77777777">
        <w:tc>
          <w:tcPr>
            <w:tcW w:w="4531" w:type="dxa"/>
            <w:shd w:val="clear" w:color="auto" w:fill="FFFFFF"/>
            <w:vAlign w:val="center"/>
            <w:hideMark/>
          </w:tcPr>
          <w:p w:rsidRPr="003D1EA4" w:rsidR="00DD279A" w:rsidP="003D1EA4" w:rsidRDefault="006C01D4" w14:paraId="23646547" w14:textId="39DDE47F">
            <w:pPr>
              <w:spacing w:before="15" w:after="15" w:line="240" w:lineRule="auto"/>
              <w:rPr>
                <w:rFonts w:ascii="Hero New" w:hAnsi="Hero New" w:eastAsia="Times New Roman" w:cs="Times New Roman"/>
                <w:color w:val="191D3A"/>
                <w:kern w:val="0"/>
                <w:sz w:val="18"/>
                <w:szCs w:val="18"/>
                <w:lang w:eastAsia="fr-FR"/>
                <w14:ligatures w14:val="none"/>
              </w:rPr>
            </w:pPr>
            <w:r w:rsidRPr="006C01D4">
              <w:rPr>
                <w:rFonts w:ascii="Hero New" w:hAnsi="Hero New" w:eastAsia="Times New Roman" w:cs="Times New Roman"/>
                <w:color w:val="191D3A"/>
                <w:kern w:val="0"/>
                <w:sz w:val="18"/>
                <w:szCs w:val="18"/>
                <w:lang w:eastAsia="fr-FR"/>
                <w14:ligatures w14:val="none"/>
              </w:rPr>
              <w:t>AVENIR DIVERSIFIE</w:t>
            </w:r>
          </w:p>
        </w:tc>
        <w:tc>
          <w:tcPr>
            <w:tcW w:w="2127" w:type="dxa"/>
            <w:shd w:val="clear" w:color="auto" w:fill="FFFFFF"/>
            <w:vAlign w:val="center"/>
          </w:tcPr>
          <w:p w:rsidRPr="003D1EA4" w:rsidR="00DD279A" w:rsidP="003D1EA4" w:rsidRDefault="00261002" w14:paraId="5D8E0917" w14:textId="4FF29243">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261002" w14:paraId="2CFFAF51" w14:textId="6D427D7E">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r>
      <w:tr w:rsidRPr="003D1EA4" w:rsidR="00DD279A" w:rsidTr="00C77DDB" w14:paraId="62530F98" w14:textId="77777777">
        <w:tc>
          <w:tcPr>
            <w:tcW w:w="4531" w:type="dxa"/>
            <w:shd w:val="clear" w:color="auto" w:fill="FFFFFF"/>
            <w:vAlign w:val="center"/>
            <w:hideMark/>
          </w:tcPr>
          <w:p w:rsidRPr="003D1EA4" w:rsidR="00DD279A" w:rsidP="003D1EA4" w:rsidRDefault="00DD279A" w14:paraId="12A61318"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IMPACT ISR PERFORMANCE</w:t>
            </w:r>
          </w:p>
        </w:tc>
        <w:tc>
          <w:tcPr>
            <w:tcW w:w="2127" w:type="dxa"/>
            <w:shd w:val="clear" w:color="auto" w:fill="FFFFFF"/>
            <w:vAlign w:val="center"/>
          </w:tcPr>
          <w:p w:rsidRPr="003D1EA4" w:rsidR="00DD279A" w:rsidP="003D1EA4" w:rsidRDefault="00261002" w14:paraId="083728DC" w14:textId="27E1FE71">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261002" w14:paraId="472728AF" w14:textId="2AD5297C">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r>
      <w:tr w:rsidRPr="003D1EA4" w:rsidR="00DD279A" w:rsidTr="00C77DDB" w14:paraId="644526A3" w14:textId="77777777">
        <w:tc>
          <w:tcPr>
            <w:tcW w:w="4531" w:type="dxa"/>
            <w:shd w:val="clear" w:color="auto" w:fill="FFFFFF"/>
            <w:vAlign w:val="center"/>
            <w:hideMark/>
          </w:tcPr>
          <w:p w:rsidRPr="003D1EA4" w:rsidR="00DD279A" w:rsidP="003D1EA4" w:rsidRDefault="00DD279A" w14:paraId="278A1F99"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SELECTION DNCA EVOLUTIF ISR</w:t>
            </w:r>
          </w:p>
        </w:tc>
        <w:tc>
          <w:tcPr>
            <w:tcW w:w="2127" w:type="dxa"/>
            <w:shd w:val="clear" w:color="auto" w:fill="FFFFFF"/>
            <w:vAlign w:val="center"/>
          </w:tcPr>
          <w:p w:rsidRPr="003D1EA4" w:rsidR="00DD279A" w:rsidP="003D1EA4" w:rsidRDefault="00261002" w14:paraId="78EB0134" w14:textId="23EAF052">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DD279A" w14:paraId="6A9A12D0" w14:textId="0A2FDF81">
            <w:pPr>
              <w:spacing w:before="15" w:after="15" w:line="240" w:lineRule="auto"/>
              <w:jc w:val="center"/>
              <w:rPr>
                <w:rFonts w:ascii="Hero New" w:hAnsi="Hero New" w:eastAsia="Times New Roman" w:cs="Times New Roman"/>
                <w:color w:val="191D3A"/>
                <w:kern w:val="0"/>
                <w:sz w:val="20"/>
                <w:szCs w:val="20"/>
                <w:lang w:eastAsia="fr-FR"/>
                <w14:ligatures w14:val="none"/>
              </w:rPr>
            </w:pPr>
          </w:p>
        </w:tc>
      </w:tr>
      <w:tr w:rsidRPr="003D1EA4" w:rsidR="00DD279A" w:rsidTr="00C77DDB" w14:paraId="44A5C95E" w14:textId="77777777">
        <w:tc>
          <w:tcPr>
            <w:tcW w:w="4531" w:type="dxa"/>
            <w:shd w:val="clear" w:color="auto" w:fill="FFFFFF"/>
            <w:vAlign w:val="center"/>
            <w:hideMark/>
          </w:tcPr>
          <w:p w:rsidRPr="003D1EA4" w:rsidR="00DD279A" w:rsidP="003D1EA4" w:rsidRDefault="00DD279A" w14:paraId="4BE83460"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SELECTION DNCA ACTIONS EURO PME</w:t>
            </w:r>
          </w:p>
        </w:tc>
        <w:tc>
          <w:tcPr>
            <w:tcW w:w="2127" w:type="dxa"/>
            <w:shd w:val="clear" w:color="auto" w:fill="FFFFFF"/>
            <w:vAlign w:val="center"/>
          </w:tcPr>
          <w:p w:rsidRPr="003D1EA4" w:rsidR="00DD279A" w:rsidP="003D1EA4" w:rsidRDefault="00DD279A" w14:paraId="262E15B4" w14:textId="4FD6618D">
            <w:pPr>
              <w:spacing w:before="15" w:after="15" w:line="240" w:lineRule="auto"/>
              <w:jc w:val="center"/>
              <w:rPr>
                <w:rFonts w:ascii="Hero New" w:hAnsi="Hero New" w:eastAsia="Times New Roman" w:cs="Times New Roman"/>
                <w:color w:val="191D3A"/>
                <w:kern w:val="0"/>
                <w:sz w:val="20"/>
                <w:szCs w:val="20"/>
                <w:lang w:eastAsia="fr-FR"/>
                <w14:ligatures w14:val="none"/>
              </w:rPr>
            </w:pPr>
          </w:p>
        </w:tc>
        <w:tc>
          <w:tcPr>
            <w:tcW w:w="2213" w:type="dxa"/>
            <w:shd w:val="clear" w:color="auto" w:fill="FFFFFF"/>
            <w:vAlign w:val="center"/>
          </w:tcPr>
          <w:p w:rsidRPr="003D1EA4" w:rsidR="00DD279A" w:rsidP="003D1EA4" w:rsidRDefault="00261002" w14:paraId="5103512A" w14:textId="353A180A">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r>
      <w:tr w:rsidRPr="003D1EA4" w:rsidR="00DD279A" w:rsidTr="00C77DDB" w14:paraId="67EECB3B" w14:textId="77777777">
        <w:tc>
          <w:tcPr>
            <w:tcW w:w="4531" w:type="dxa"/>
            <w:shd w:val="clear" w:color="auto" w:fill="FFFFFF"/>
            <w:vAlign w:val="center"/>
            <w:hideMark/>
          </w:tcPr>
          <w:p w:rsidRPr="003D1EA4" w:rsidR="00DD279A" w:rsidP="003D1EA4" w:rsidRDefault="00DD279A" w14:paraId="272AF9DC"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EXPERTISE ESG EQUILIBRE</w:t>
            </w:r>
          </w:p>
        </w:tc>
        <w:tc>
          <w:tcPr>
            <w:tcW w:w="2127" w:type="dxa"/>
            <w:shd w:val="clear" w:color="auto" w:fill="FFFFFF"/>
            <w:vAlign w:val="center"/>
          </w:tcPr>
          <w:p w:rsidRPr="003D1EA4" w:rsidR="00DD279A" w:rsidP="003D1EA4" w:rsidRDefault="00261002" w14:paraId="36C0372D" w14:textId="07124745">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DD279A" w14:paraId="0711936A" w14:textId="0190411F">
            <w:pPr>
              <w:spacing w:before="15" w:after="15" w:line="240" w:lineRule="auto"/>
              <w:jc w:val="center"/>
              <w:rPr>
                <w:rFonts w:ascii="Hero New" w:hAnsi="Hero New" w:eastAsia="Times New Roman" w:cs="Times New Roman"/>
                <w:color w:val="191D3A"/>
                <w:kern w:val="0"/>
                <w:sz w:val="20"/>
                <w:szCs w:val="20"/>
                <w:lang w:eastAsia="fr-FR"/>
                <w14:ligatures w14:val="none"/>
              </w:rPr>
            </w:pPr>
          </w:p>
        </w:tc>
      </w:tr>
      <w:tr w:rsidRPr="003D1EA4" w:rsidR="00DD279A" w:rsidTr="00C77DDB" w14:paraId="03FC171E" w14:textId="77777777">
        <w:tc>
          <w:tcPr>
            <w:tcW w:w="4531" w:type="dxa"/>
            <w:shd w:val="clear" w:color="auto" w:fill="FFFFFF"/>
            <w:vAlign w:val="center"/>
            <w:hideMark/>
          </w:tcPr>
          <w:p w:rsidRPr="003D1EA4" w:rsidR="00DD279A" w:rsidP="003D1EA4" w:rsidRDefault="00DD279A" w14:paraId="4EF78C25"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IMPACT ACTIONS EMPLOI SOLIDAIRE</w:t>
            </w:r>
          </w:p>
        </w:tc>
        <w:tc>
          <w:tcPr>
            <w:tcW w:w="2127" w:type="dxa"/>
            <w:shd w:val="clear" w:color="auto" w:fill="FFFFFF"/>
            <w:vAlign w:val="center"/>
          </w:tcPr>
          <w:p w:rsidRPr="003D1EA4" w:rsidR="00DD279A" w:rsidP="003D1EA4" w:rsidRDefault="00261002" w14:paraId="09C84EFF" w14:textId="6344CE7F">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DD279A" w14:paraId="648B4129" w14:textId="161EF0F2">
            <w:pPr>
              <w:spacing w:before="15" w:after="15" w:line="240" w:lineRule="auto"/>
              <w:jc w:val="center"/>
              <w:rPr>
                <w:rFonts w:ascii="Hero New" w:hAnsi="Hero New" w:eastAsia="Times New Roman" w:cs="Times New Roman"/>
                <w:color w:val="191D3A"/>
                <w:kern w:val="0"/>
                <w:sz w:val="20"/>
                <w:szCs w:val="20"/>
                <w:lang w:eastAsia="fr-FR"/>
                <w14:ligatures w14:val="none"/>
              </w:rPr>
            </w:pPr>
          </w:p>
        </w:tc>
      </w:tr>
      <w:tr w:rsidRPr="003D1EA4" w:rsidR="00DD279A" w:rsidTr="00C77DDB" w14:paraId="4EC74199" w14:textId="77777777">
        <w:tc>
          <w:tcPr>
            <w:tcW w:w="4531" w:type="dxa"/>
            <w:shd w:val="clear" w:color="auto" w:fill="FFFFFF"/>
            <w:vAlign w:val="center"/>
            <w:hideMark/>
          </w:tcPr>
          <w:p w:rsidRPr="003D1EA4" w:rsidR="00DD279A" w:rsidP="003D1EA4" w:rsidRDefault="00DD279A" w14:paraId="790F8701"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SELECTION MIROVA ACTIONS INTERNATIONALES</w:t>
            </w:r>
          </w:p>
        </w:tc>
        <w:tc>
          <w:tcPr>
            <w:tcW w:w="2127" w:type="dxa"/>
            <w:shd w:val="clear" w:color="auto" w:fill="FFFFFF"/>
            <w:vAlign w:val="center"/>
          </w:tcPr>
          <w:p w:rsidRPr="003D1EA4" w:rsidR="00DD279A" w:rsidP="003D1EA4" w:rsidRDefault="00261002" w14:paraId="63BB188A" w14:textId="61B2D353">
            <w:pPr>
              <w:spacing w:before="15" w:after="15"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DD279A" w14:paraId="1BA9449F" w14:textId="3C0E2D9C">
            <w:pPr>
              <w:spacing w:before="15" w:after="15" w:line="240" w:lineRule="auto"/>
              <w:jc w:val="center"/>
              <w:rPr>
                <w:rFonts w:ascii="Hero New" w:hAnsi="Hero New" w:eastAsia="Times New Roman" w:cs="Times New Roman"/>
                <w:color w:val="191D3A"/>
                <w:kern w:val="0"/>
                <w:sz w:val="20"/>
                <w:szCs w:val="20"/>
                <w:lang w:eastAsia="fr-FR"/>
                <w14:ligatures w14:val="none"/>
              </w:rPr>
            </w:pPr>
          </w:p>
        </w:tc>
      </w:tr>
      <w:tr w:rsidRPr="003D1EA4" w:rsidR="00DD279A" w:rsidTr="00C77DDB" w14:paraId="64DC2510" w14:textId="77777777">
        <w:tc>
          <w:tcPr>
            <w:tcW w:w="4531" w:type="dxa"/>
            <w:shd w:val="clear" w:color="auto" w:fill="FFFFFF"/>
            <w:vAlign w:val="center"/>
            <w:hideMark/>
          </w:tcPr>
          <w:p w:rsidRPr="003D1EA4" w:rsidR="00DD279A" w:rsidP="003D1EA4" w:rsidRDefault="00DD279A" w14:paraId="4D2C7009" w14:textId="77777777">
            <w:pPr>
              <w:spacing w:before="15" w:after="15" w:line="240" w:lineRule="auto"/>
              <w:rPr>
                <w:rFonts w:ascii="Hero New" w:hAnsi="Hero New" w:eastAsia="Times New Roman" w:cs="Times New Roman"/>
                <w:color w:val="191D3A"/>
                <w:kern w:val="0"/>
                <w:sz w:val="18"/>
                <w:szCs w:val="18"/>
                <w:lang w:eastAsia="fr-FR"/>
                <w14:ligatures w14:val="none"/>
              </w:rPr>
            </w:pPr>
            <w:r w:rsidRPr="003D1EA4">
              <w:rPr>
                <w:rFonts w:ascii="Hero New" w:hAnsi="Hero New" w:eastAsia="Times New Roman" w:cs="Times New Roman"/>
                <w:color w:val="191D3A"/>
                <w:kern w:val="0"/>
                <w:sz w:val="18"/>
                <w:szCs w:val="18"/>
                <w:lang w:eastAsia="fr-FR"/>
                <w14:ligatures w14:val="none"/>
              </w:rPr>
              <w:t>AVENIR ACTIONS LONG TERME</w:t>
            </w:r>
          </w:p>
        </w:tc>
        <w:tc>
          <w:tcPr>
            <w:tcW w:w="2127" w:type="dxa"/>
            <w:shd w:val="clear" w:color="auto" w:fill="FFFFFF"/>
            <w:vAlign w:val="center"/>
          </w:tcPr>
          <w:p w:rsidRPr="003D1EA4" w:rsidR="00DD279A" w:rsidP="008F04B0" w:rsidRDefault="008F04B0" w14:paraId="3CD2E0DC" w14:textId="0485F7BC">
            <w:pPr>
              <w:spacing w:after="0" w:line="240" w:lineRule="auto"/>
              <w:jc w:val="center"/>
              <w:rPr>
                <w:rFonts w:ascii="Hero New" w:hAnsi="Hero New" w:eastAsia="Times New Roman" w:cs="Times New Roman"/>
                <w:color w:val="191D3A"/>
                <w:kern w:val="0"/>
                <w:sz w:val="20"/>
                <w:szCs w:val="20"/>
                <w:lang w:eastAsia="fr-FR"/>
                <w14:ligatures w14:val="none"/>
              </w:rPr>
            </w:pPr>
            <w:r>
              <w:rPr>
                <w:rFonts w:ascii="Hero New" w:hAnsi="Hero New" w:eastAsia="Times New Roman" w:cs="Times New Roman"/>
                <w:color w:val="191D3A"/>
                <w:kern w:val="0"/>
                <w:sz w:val="20"/>
                <w:szCs w:val="20"/>
                <w:lang w:eastAsia="fr-FR"/>
                <w14:ligatures w14:val="none"/>
              </w:rPr>
              <w:t>x</w:t>
            </w:r>
          </w:p>
        </w:tc>
        <w:tc>
          <w:tcPr>
            <w:tcW w:w="2213" w:type="dxa"/>
            <w:shd w:val="clear" w:color="auto" w:fill="FFFFFF"/>
            <w:vAlign w:val="center"/>
          </w:tcPr>
          <w:p w:rsidRPr="003D1EA4" w:rsidR="00DD279A" w:rsidP="003D1EA4" w:rsidRDefault="00DD279A" w14:paraId="01093EBA" w14:textId="06F899C5">
            <w:pPr>
              <w:spacing w:before="15" w:after="15" w:line="240" w:lineRule="auto"/>
              <w:jc w:val="center"/>
              <w:rPr>
                <w:rFonts w:ascii="Hero New" w:hAnsi="Hero New" w:eastAsia="Times New Roman" w:cs="Times New Roman"/>
                <w:color w:val="191D3A"/>
                <w:kern w:val="0"/>
                <w:sz w:val="20"/>
                <w:szCs w:val="20"/>
                <w:lang w:eastAsia="fr-FR"/>
                <w14:ligatures w14:val="none"/>
              </w:rPr>
            </w:pPr>
          </w:p>
        </w:tc>
      </w:tr>
    </w:tbl>
    <w:p w:rsidRPr="005827CB" w:rsidR="005827CB" w:rsidP="00282552" w:rsidRDefault="005827CB" w14:paraId="2ACB82E7"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b/>
          <w:bCs/>
          <w:color w:val="4A4A52"/>
          <w:kern w:val="0"/>
          <w:sz w:val="21"/>
          <w:szCs w:val="21"/>
          <w:lang w:eastAsia="fr-FR"/>
          <w14:ligatures w14:val="none"/>
        </w:rPr>
        <w:lastRenderedPageBreak/>
        <w:t>RAPPEL SUR LE DISPOSITIF :</w:t>
      </w:r>
    </w:p>
    <w:p w:rsidRPr="005827CB" w:rsidR="005827CB" w:rsidP="00282552" w:rsidRDefault="005827CB" w14:paraId="5C69A637"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b/>
          <w:bCs/>
          <w:color w:val="4A4A52"/>
          <w:kern w:val="0"/>
          <w:sz w:val="21"/>
          <w:szCs w:val="21"/>
          <w:lang w:eastAsia="fr-FR"/>
          <w14:ligatures w14:val="none"/>
        </w:rPr>
        <w:t> </w:t>
      </w:r>
    </w:p>
    <w:p w:rsidRPr="005827CB" w:rsidR="005827CB" w:rsidP="00282552" w:rsidRDefault="001114D7" w14:paraId="5C1A8510" w14:textId="0DDED9DE">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Pr>
          <w:rFonts w:ascii="Poppins" w:hAnsi="Poppins" w:eastAsia="Times New Roman" w:cs="Poppins"/>
          <w:color w:val="4A4A52"/>
          <w:kern w:val="0"/>
          <w:sz w:val="21"/>
          <w:szCs w:val="21"/>
          <w:lang w:eastAsia="fr-FR"/>
          <w14:ligatures w14:val="none"/>
        </w:rPr>
        <w:t>L</w:t>
      </w:r>
      <w:r w:rsidRPr="005827CB" w:rsidR="005827CB">
        <w:rPr>
          <w:rFonts w:ascii="Poppins" w:hAnsi="Poppins" w:eastAsia="Times New Roman" w:cs="Poppins"/>
          <w:color w:val="4A4A52"/>
          <w:kern w:val="0"/>
          <w:sz w:val="21"/>
          <w:szCs w:val="21"/>
          <w:lang w:eastAsia="fr-FR"/>
          <w14:ligatures w14:val="none"/>
        </w:rPr>
        <w:t xml:space="preserve">es salariés ont la possibilité de transférer des jours épargnés au sein de leur CET, vers un PERCOL-I (Plan d’Epargne Retraite Collectif Interentreprise), dont la gestion a été confiée à l’opérateur </w:t>
      </w:r>
      <w:r w:rsidR="003D1504">
        <w:rPr>
          <w:rFonts w:ascii="Poppins" w:hAnsi="Poppins" w:eastAsia="Times New Roman" w:cs="Poppins"/>
          <w:color w:val="4A4A52"/>
          <w:kern w:val="0"/>
          <w:sz w:val="21"/>
          <w:szCs w:val="21"/>
          <w:lang w:eastAsia="fr-FR"/>
          <w14:ligatures w14:val="none"/>
        </w:rPr>
        <w:t>NATIXIS INTEREPARGNE</w:t>
      </w:r>
      <w:r w:rsidRPr="005827CB" w:rsidR="005827CB">
        <w:rPr>
          <w:rFonts w:ascii="Poppins" w:hAnsi="Poppins" w:eastAsia="Times New Roman" w:cs="Poppins"/>
          <w:color w:val="4A4A52"/>
          <w:kern w:val="0"/>
          <w:sz w:val="21"/>
          <w:szCs w:val="21"/>
          <w:lang w:eastAsia="fr-FR"/>
          <w14:ligatures w14:val="none"/>
        </w:rPr>
        <w:t>.</w:t>
      </w:r>
    </w:p>
    <w:p w:rsidR="003D1504" w:rsidP="00282552" w:rsidRDefault="003D1504" w14:paraId="1D7D44EA"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p>
    <w:p w:rsidRPr="005827CB" w:rsidR="005827CB" w:rsidP="00282552" w:rsidRDefault="005827CB" w14:paraId="006FA509" w14:textId="3958C4A8">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L’épargne ainsi constituée sur le PERCOL-I est bloquée et devient disponible à la retraite, sous forme de rente ou de capital. Il est à noter que la loi prévoit certaines situations de déblocage anticipé (acquisition de la résidence principale, invalidité, surendettement…).</w:t>
      </w:r>
    </w:p>
    <w:p w:rsidR="00A96B91" w:rsidP="00282552" w:rsidRDefault="00A96B91" w14:paraId="370E054E"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p>
    <w:p w:rsidR="005827CB" w:rsidP="00282552" w:rsidRDefault="005827CB" w14:paraId="1017C97B" w14:textId="2781BBCA">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Les jours transférés bénéficient, dans la limite de 10 jours par an et par bénéficiaire, d’une exonération des cotisations patronales et salariales de sécurité sociale dues au titre des assurances sociales et des allocations familiales.</w:t>
      </w:r>
      <w:r w:rsidR="00294FF3">
        <w:rPr>
          <w:rFonts w:ascii="Poppins" w:hAnsi="Poppins" w:eastAsia="Times New Roman" w:cs="Poppins"/>
          <w:color w:val="4A4A52"/>
          <w:kern w:val="0"/>
          <w:sz w:val="21"/>
          <w:szCs w:val="21"/>
          <w:lang w:eastAsia="fr-FR"/>
          <w14:ligatures w14:val="none"/>
        </w:rPr>
        <w:t xml:space="preserve"> </w:t>
      </w:r>
      <w:r w:rsidRPr="005827CB">
        <w:rPr>
          <w:rFonts w:ascii="Poppins" w:hAnsi="Poppins" w:eastAsia="Times New Roman" w:cs="Poppins"/>
          <w:color w:val="4A4A52"/>
          <w:kern w:val="0"/>
          <w:sz w:val="21"/>
          <w:szCs w:val="21"/>
          <w:lang w:eastAsia="fr-FR"/>
          <w14:ligatures w14:val="none"/>
        </w:rPr>
        <w:t>Ainsi, sont exonérées les cotisations maladie, invalidité, vieillesse, décès, veuvage, maternité et paternité.</w:t>
      </w:r>
    </w:p>
    <w:p w:rsidRPr="005827CB" w:rsidR="001114D7" w:rsidP="00282552" w:rsidRDefault="001114D7" w14:paraId="62A03DF8"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p>
    <w:p w:rsidRPr="00C77DDB" w:rsidR="005827CB" w:rsidP="00282552" w:rsidRDefault="005827CB" w14:paraId="7B99389D"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C77DDB">
        <w:rPr>
          <w:rFonts w:ascii="Poppins" w:hAnsi="Poppins" w:eastAsia="Times New Roman" w:cs="Poppins"/>
          <w:color w:val="4A4A52"/>
          <w:kern w:val="0"/>
          <w:sz w:val="21"/>
          <w:szCs w:val="21"/>
          <w:lang w:eastAsia="fr-FR"/>
          <w14:ligatures w14:val="none"/>
        </w:rPr>
        <w:t>En revanche, ces jours transférés demeurent assujettis à la CSG et à la CRDS, ainsi qu’aux autres cotisations et contributions assises sur les salaires (accident du travail, maladies professionnelles, contribution solidarité autonomie, contribution versement transport, contribution FNAL, cotisations d’assurance chômage, cotisation AGS).</w:t>
      </w:r>
    </w:p>
    <w:p w:rsidRPr="005827CB" w:rsidR="00294FF3" w:rsidP="00282552" w:rsidRDefault="00294FF3" w14:paraId="721C3C4B"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p>
    <w:p w:rsidRPr="005827CB" w:rsidR="005827CB" w:rsidP="00282552" w:rsidRDefault="005827CB" w14:paraId="401DE36F"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Par ailleurs, pour le salarié, les jours transférés bénéficient, dans la limite de 10 jours par an et par bénéficiaire, d’une exonération d’impôt sur le revenu. De plus l’abondement de l’employeur est exonéré de charges sociales et d’impôt (hors CSG et CRDS au titre des revenus d’activité et hors forfait social).</w:t>
      </w:r>
    </w:p>
    <w:p w:rsidRPr="005827CB" w:rsidR="005827CB" w:rsidP="00282552" w:rsidRDefault="005827CB" w14:paraId="55AAF1AA"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 </w:t>
      </w:r>
    </w:p>
    <w:p w:rsidRPr="005827CB" w:rsidR="005827CB" w:rsidP="00282552" w:rsidRDefault="005827CB" w14:paraId="1A05E685" w14:textId="3A07B694">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 xml:space="preserve">Le nombre de jours de CET épargnés, leur montant valorisé ainsi que le montant de l’abondement employeur seront affichés </w:t>
      </w:r>
      <w:r w:rsidR="00A42882">
        <w:rPr>
          <w:rFonts w:ascii="Poppins" w:hAnsi="Poppins" w:eastAsia="Times New Roman" w:cs="Poppins"/>
          <w:color w:val="4A4A52"/>
          <w:kern w:val="0"/>
          <w:sz w:val="21"/>
          <w:szCs w:val="21"/>
          <w:lang w:eastAsia="fr-FR"/>
          <w14:ligatures w14:val="none"/>
        </w:rPr>
        <w:t xml:space="preserve">sur </w:t>
      </w:r>
      <w:r w:rsidRPr="005827CB">
        <w:rPr>
          <w:rFonts w:ascii="Poppins" w:hAnsi="Poppins" w:eastAsia="Times New Roman" w:cs="Poppins"/>
          <w:color w:val="4A4A52"/>
          <w:kern w:val="0"/>
          <w:sz w:val="21"/>
          <w:szCs w:val="21"/>
          <w:lang w:eastAsia="fr-FR"/>
          <w14:ligatures w14:val="none"/>
        </w:rPr>
        <w:t>votre bulletin de paie.</w:t>
      </w:r>
    </w:p>
    <w:p w:rsidR="00C41DC4" w:rsidP="00282552" w:rsidRDefault="00C41DC4" w14:paraId="1FFF871F"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p>
    <w:p w:rsidRPr="005827CB" w:rsidR="005827CB" w:rsidP="00282552" w:rsidRDefault="005827CB" w14:paraId="6F693509" w14:textId="2B1000E8">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 xml:space="preserve">Pour toute question ou besoin d’information complémentaire, n’hésitez pas à contacter </w:t>
      </w:r>
      <w:r w:rsidRPr="00BA05F7" w:rsidR="00A42882">
        <w:rPr>
          <w:rFonts w:ascii="Poppins" w:hAnsi="Poppins" w:eastAsia="Times New Roman" w:cs="Poppins"/>
          <w:i/>
          <w:iCs/>
          <w:color w:val="4A4A52"/>
          <w:kern w:val="0"/>
          <w:sz w:val="21"/>
          <w:szCs w:val="21"/>
          <w:highlight w:val="yellow"/>
          <w:lang w:eastAsia="fr-FR"/>
          <w14:ligatures w14:val="none"/>
        </w:rPr>
        <w:t>(coordonnées du service</w:t>
      </w:r>
      <w:r w:rsidRPr="00BA05F7" w:rsidR="00BA05F7">
        <w:rPr>
          <w:rFonts w:ascii="Poppins" w:hAnsi="Poppins" w:eastAsia="Times New Roman" w:cs="Poppins"/>
          <w:i/>
          <w:iCs/>
          <w:color w:val="4A4A52"/>
          <w:kern w:val="0"/>
          <w:sz w:val="21"/>
          <w:szCs w:val="21"/>
          <w:highlight w:val="yellow"/>
          <w:lang w:eastAsia="fr-FR"/>
          <w14:ligatures w14:val="none"/>
        </w:rPr>
        <w:t>)</w:t>
      </w:r>
      <w:r w:rsidRPr="005827CB">
        <w:rPr>
          <w:rFonts w:ascii="Poppins" w:hAnsi="Poppins" w:eastAsia="Times New Roman" w:cs="Poppins"/>
          <w:color w:val="4A4A52"/>
          <w:kern w:val="0"/>
          <w:sz w:val="21"/>
          <w:szCs w:val="21"/>
          <w:lang w:eastAsia="fr-FR"/>
          <w14:ligatures w14:val="none"/>
        </w:rPr>
        <w:t>.</w:t>
      </w:r>
    </w:p>
    <w:p w:rsidRPr="005827CB" w:rsidR="005827CB" w:rsidP="00282552" w:rsidRDefault="005827CB" w14:paraId="3224875E"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 </w:t>
      </w:r>
    </w:p>
    <w:p w:rsidRPr="005827CB" w:rsidR="005827CB" w:rsidP="00282552" w:rsidRDefault="005827CB" w14:paraId="3E69E69B" w14:textId="77777777">
      <w:pPr>
        <w:shd w:val="clear" w:color="auto" w:fill="FFFFFF"/>
        <w:spacing w:after="0" w:line="240" w:lineRule="auto"/>
        <w:jc w:val="both"/>
        <w:rPr>
          <w:rFonts w:ascii="Poppins" w:hAnsi="Poppins" w:eastAsia="Times New Roman" w:cs="Poppins"/>
          <w:color w:val="4A4A52"/>
          <w:kern w:val="0"/>
          <w:sz w:val="21"/>
          <w:szCs w:val="21"/>
          <w:lang w:eastAsia="fr-FR"/>
          <w14:ligatures w14:val="none"/>
        </w:rPr>
      </w:pPr>
      <w:r w:rsidRPr="005827CB">
        <w:rPr>
          <w:rFonts w:ascii="Poppins" w:hAnsi="Poppins" w:eastAsia="Times New Roman" w:cs="Poppins"/>
          <w:color w:val="4A4A52"/>
          <w:kern w:val="0"/>
          <w:sz w:val="21"/>
          <w:szCs w:val="21"/>
          <w:lang w:eastAsia="fr-FR"/>
          <w14:ligatures w14:val="none"/>
        </w:rPr>
        <w:t>Bonne journée à toutes et à tous. </w:t>
      </w:r>
    </w:p>
    <w:p w:rsidR="00723E71" w:rsidP="00282552" w:rsidRDefault="00723E71" w14:paraId="7FC0B0C1" w14:textId="77777777">
      <w:pPr>
        <w:jc w:val="both"/>
      </w:pPr>
    </w:p>
    <w:p w:rsidR="003C4EFE" w:rsidP="00282552" w:rsidRDefault="003C4EFE" w14:paraId="4459E23B" w14:textId="7157BAF6">
      <w:pPr>
        <w:jc w:val="both"/>
      </w:pPr>
      <w:r w:rsidRPr="003C4EFE">
        <w:rPr>
          <w:highlight w:val="yellow"/>
        </w:rPr>
        <w:t>Vous pouvez joindre la plaquette spécifique à la passerelle CET/PER COL-I</w:t>
      </w:r>
    </w:p>
    <w:sectPr w:rsidR="003C4EF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Hero New">
    <w:panose1 w:val="02000500000000000000"/>
    <w:charset w:val="00"/>
    <w:family w:val="modern"/>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B364D"/>
    <w:multiLevelType w:val="hybridMultilevel"/>
    <w:tmpl w:val="F274E52E"/>
    <w:lvl w:ilvl="0" w:tplc="E604BB34">
      <w:start w:val="1"/>
      <w:numFmt w:val="bullet"/>
      <w:lvlText w:val="-"/>
      <w:lvlJc w:val="left"/>
      <w:pPr>
        <w:ind w:left="720" w:hanging="360"/>
      </w:pPr>
      <w:rPr>
        <w:rFonts w:hint="default" w:ascii="Calibri" w:hAnsi="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48CE3ABE"/>
    <w:multiLevelType w:val="hybridMultilevel"/>
    <w:tmpl w:val="73CAA91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6E81102F"/>
    <w:multiLevelType w:val="multilevel"/>
    <w:tmpl w:val="17429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7460391">
    <w:abstractNumId w:val="2"/>
  </w:num>
  <w:num w:numId="2" w16cid:durableId="764693510">
    <w:abstractNumId w:val="1"/>
  </w:num>
  <w:num w:numId="3" w16cid:durableId="192086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CB"/>
    <w:rsid w:val="00041CEF"/>
    <w:rsid w:val="00102B99"/>
    <w:rsid w:val="001114D7"/>
    <w:rsid w:val="0013113A"/>
    <w:rsid w:val="0016791F"/>
    <w:rsid w:val="0017032D"/>
    <w:rsid w:val="00261002"/>
    <w:rsid w:val="00282552"/>
    <w:rsid w:val="00294FF3"/>
    <w:rsid w:val="00355059"/>
    <w:rsid w:val="00394801"/>
    <w:rsid w:val="003C4EFE"/>
    <w:rsid w:val="003D1504"/>
    <w:rsid w:val="003D1EA4"/>
    <w:rsid w:val="00420F94"/>
    <w:rsid w:val="00502FBE"/>
    <w:rsid w:val="005174D8"/>
    <w:rsid w:val="005827CB"/>
    <w:rsid w:val="00661C04"/>
    <w:rsid w:val="00674CFD"/>
    <w:rsid w:val="00696C08"/>
    <w:rsid w:val="006C01D4"/>
    <w:rsid w:val="006E0940"/>
    <w:rsid w:val="00707448"/>
    <w:rsid w:val="00723E71"/>
    <w:rsid w:val="00766464"/>
    <w:rsid w:val="00811718"/>
    <w:rsid w:val="00833955"/>
    <w:rsid w:val="00883C44"/>
    <w:rsid w:val="008F04B0"/>
    <w:rsid w:val="009151F6"/>
    <w:rsid w:val="0091CED0"/>
    <w:rsid w:val="00997A50"/>
    <w:rsid w:val="009D14DE"/>
    <w:rsid w:val="00A01342"/>
    <w:rsid w:val="00A42882"/>
    <w:rsid w:val="00A96B91"/>
    <w:rsid w:val="00BA05F7"/>
    <w:rsid w:val="00BF6416"/>
    <w:rsid w:val="00C306F2"/>
    <w:rsid w:val="00C41DC4"/>
    <w:rsid w:val="00C77DDB"/>
    <w:rsid w:val="00CF0148"/>
    <w:rsid w:val="00D43C77"/>
    <w:rsid w:val="00DD0A79"/>
    <w:rsid w:val="00DD279A"/>
    <w:rsid w:val="00E34B69"/>
    <w:rsid w:val="00E93CE6"/>
    <w:rsid w:val="00EE1A54"/>
    <w:rsid w:val="0B3979DF"/>
    <w:rsid w:val="5965AA99"/>
    <w:rsid w:val="7F00C136"/>
    <w:rsid w:val="7F1C2748"/>
    <w:rsid w:val="7F95A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182E"/>
  <w15:chartTrackingRefBased/>
  <w15:docId w15:val="{6F651D2B-7AB3-44D6-B7C5-8106CE97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5827C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827C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827C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827C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827C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827C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827C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827C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827CB"/>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827CB"/>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5827CB"/>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5827CB"/>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5827CB"/>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5827CB"/>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5827CB"/>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5827CB"/>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5827CB"/>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5827CB"/>
    <w:rPr>
      <w:rFonts w:eastAsiaTheme="majorEastAsia" w:cstheme="majorBidi"/>
      <w:color w:val="272727" w:themeColor="text1" w:themeTint="D8"/>
    </w:rPr>
  </w:style>
  <w:style w:type="paragraph" w:styleId="Titre">
    <w:name w:val="Title"/>
    <w:basedOn w:val="Normal"/>
    <w:next w:val="Normal"/>
    <w:link w:val="TitreCar"/>
    <w:uiPriority w:val="10"/>
    <w:qFormat/>
    <w:rsid w:val="005827CB"/>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5827CB"/>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5827CB"/>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5827C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827CB"/>
    <w:pPr>
      <w:spacing w:before="160"/>
      <w:jc w:val="center"/>
    </w:pPr>
    <w:rPr>
      <w:i/>
      <w:iCs/>
      <w:color w:val="404040" w:themeColor="text1" w:themeTint="BF"/>
    </w:rPr>
  </w:style>
  <w:style w:type="character" w:styleId="CitationCar" w:customStyle="1">
    <w:name w:val="Citation Car"/>
    <w:basedOn w:val="Policepardfaut"/>
    <w:link w:val="Citation"/>
    <w:uiPriority w:val="29"/>
    <w:rsid w:val="005827CB"/>
    <w:rPr>
      <w:i/>
      <w:iCs/>
      <w:color w:val="404040" w:themeColor="text1" w:themeTint="BF"/>
    </w:rPr>
  </w:style>
  <w:style w:type="paragraph" w:styleId="Paragraphedeliste">
    <w:name w:val="List Paragraph"/>
    <w:basedOn w:val="Normal"/>
    <w:uiPriority w:val="34"/>
    <w:qFormat/>
    <w:rsid w:val="005827CB"/>
    <w:pPr>
      <w:ind w:left="720"/>
      <w:contextualSpacing/>
    </w:pPr>
  </w:style>
  <w:style w:type="character" w:styleId="Accentuationintense">
    <w:name w:val="Intense Emphasis"/>
    <w:basedOn w:val="Policepardfaut"/>
    <w:uiPriority w:val="21"/>
    <w:qFormat/>
    <w:rsid w:val="005827CB"/>
    <w:rPr>
      <w:i/>
      <w:iCs/>
      <w:color w:val="0F4761" w:themeColor="accent1" w:themeShade="BF"/>
    </w:rPr>
  </w:style>
  <w:style w:type="paragraph" w:styleId="Citationintense">
    <w:name w:val="Intense Quote"/>
    <w:basedOn w:val="Normal"/>
    <w:next w:val="Normal"/>
    <w:link w:val="CitationintenseCar"/>
    <w:uiPriority w:val="30"/>
    <w:qFormat/>
    <w:rsid w:val="005827C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5827CB"/>
    <w:rPr>
      <w:i/>
      <w:iCs/>
      <w:color w:val="0F4761" w:themeColor="accent1" w:themeShade="BF"/>
    </w:rPr>
  </w:style>
  <w:style w:type="character" w:styleId="Rfrenceintense">
    <w:name w:val="Intense Reference"/>
    <w:basedOn w:val="Policepardfaut"/>
    <w:uiPriority w:val="32"/>
    <w:qFormat/>
    <w:rsid w:val="005827CB"/>
    <w:rPr>
      <w:b/>
      <w:bCs/>
      <w:smallCaps/>
      <w:color w:val="0F4761" w:themeColor="accent1" w:themeShade="BF"/>
      <w:spacing w:val="5"/>
    </w:rPr>
  </w:style>
  <w:style w:type="paragraph" w:styleId="NormalWeb">
    <w:name w:val="Normal (Web)"/>
    <w:basedOn w:val="Normal"/>
    <w:uiPriority w:val="99"/>
    <w:semiHidden/>
    <w:unhideWhenUsed/>
    <w:rsid w:val="005827CB"/>
    <w:pPr>
      <w:spacing w:before="100" w:beforeAutospacing="1" w:after="100" w:afterAutospacing="1" w:line="240" w:lineRule="auto"/>
    </w:pPr>
    <w:rPr>
      <w:rFonts w:ascii="Times New Roman" w:hAnsi="Times New Roman" w:eastAsia="Times New Roman" w:cs="Times New Roman"/>
      <w:kern w:val="0"/>
      <w:sz w:val="24"/>
      <w:szCs w:val="24"/>
      <w:lang w:eastAsia="fr-FR"/>
    </w:rPr>
  </w:style>
  <w:style w:type="character" w:styleId="lev">
    <w:name w:val="Strong"/>
    <w:basedOn w:val="Policepardfaut"/>
    <w:uiPriority w:val="22"/>
    <w:qFormat/>
    <w:rsid w:val="005827CB"/>
    <w:rPr>
      <w:b/>
      <w:bCs/>
    </w:rPr>
  </w:style>
  <w:style w:type="character" w:styleId="Lienhypertexte">
    <w:name w:val="Hyperlink"/>
    <w:basedOn w:val="Policepardfaut"/>
    <w:uiPriority w:val="99"/>
    <w:unhideWhenUsed/>
    <w:rsid w:val="005827CB"/>
    <w:rPr>
      <w:color w:val="0000FF"/>
      <w:u w:val="single"/>
    </w:rPr>
  </w:style>
  <w:style w:type="character" w:styleId="Mentionnonrsolue">
    <w:name w:val="Unresolved Mention"/>
    <w:basedOn w:val="Policepardfaut"/>
    <w:uiPriority w:val="99"/>
    <w:semiHidden/>
    <w:unhideWhenUsed/>
    <w:rsid w:val="00102B99"/>
    <w:rPr>
      <w:color w:val="605E5C"/>
      <w:shd w:val="clear" w:color="auto" w:fill="E1DFDD"/>
    </w:rPr>
  </w:style>
  <w:style w:type="table" w:styleId="Grilledutableau">
    <w:name w:val="Table Grid"/>
    <w:basedOn w:val="TableauNormal"/>
    <w:uiPriority w:val="39"/>
    <w:rsid w:val="005174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suivivisit">
    <w:name w:val="FollowedHyperlink"/>
    <w:basedOn w:val="Policepardfaut"/>
    <w:uiPriority w:val="99"/>
    <w:semiHidden/>
    <w:unhideWhenUsed/>
    <w:rsid w:val="00674C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215744">
      <w:bodyDiv w:val="1"/>
      <w:marLeft w:val="0"/>
      <w:marRight w:val="0"/>
      <w:marTop w:val="0"/>
      <w:marBottom w:val="0"/>
      <w:divBdr>
        <w:top w:val="none" w:sz="0" w:space="0" w:color="auto"/>
        <w:left w:val="none" w:sz="0" w:space="0" w:color="auto"/>
        <w:bottom w:val="none" w:sz="0" w:space="0" w:color="auto"/>
        <w:right w:val="none" w:sz="0" w:space="0" w:color="auto"/>
      </w:divBdr>
    </w:div>
    <w:div w:id="15457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www.ucanss.fr/salaries-de-la-secu/dispositif-depargne-salariale" TargetMode="External" Id="R074e73f31f14450a"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Arnaud MARTIN</dc:creator>
  <keywords/>
  <dc:description/>
  <lastModifiedBy>Arnaud MARTIN</lastModifiedBy>
  <revision>43</revision>
  <dcterms:created xsi:type="dcterms:W3CDTF">2024-07-08T08:24:00.0000000Z</dcterms:created>
  <dcterms:modified xsi:type="dcterms:W3CDTF">2025-08-28T12:49:32.5752560Z</dcterms:modified>
</coreProperties>
</file>